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Color Changes and Time Trials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Cell Component -&gt;</w:t>
            </w:r>
          </w:p>
          <w:tbl>
            <w:tblPr>
              <w:tblStyle w:val="Table1"/>
              <w:bidiVisual w:val="0"/>
              <w:tblW w:w="2056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2056"/>
              <w:tblGridChange w:id="0">
                <w:tblGrid>
                  <w:gridCol w:w="2056"/>
                </w:tblGrid>
              </w:tblGridChange>
            </w:tblGrid>
          </w:tbl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Color Change / Time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Egg Membrane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Egg Yolk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Egg White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Glucose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Lavender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Blue/Purple gets lighter to gray / light blue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Purple / Blue / Gray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28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27 seconds; 68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44 seconds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Color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Color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Color Change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Protein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Purple / Blue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Yellow / Brown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Light Purple / Blue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54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49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27 seconds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Lipid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Stayed red (No color change)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Dark Red / Orange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Stayed more red than orange (No color change)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33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Ø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Change / Time Trials.docx</dc:title>
</cp:coreProperties>
</file>